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/>
        <w:drawing>
          <wp:inline distB="114300" distT="114300" distL="114300" distR="114300">
            <wp:extent cx="570547" cy="435691"/>
            <wp:effectExtent b="0" l="0" r="0" t="0"/>
            <wp:docPr id="30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0547" cy="43569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ab/>
        <w:tab/>
        <w:tab/>
        <w:tab/>
      </w:r>
      <w:r w:rsidDel="00000000" w:rsidR="00000000" w:rsidRPr="00000000">
        <w:rPr>
          <w:b w:val="1"/>
          <w:rtl w:val="0"/>
        </w:rPr>
        <w:t xml:space="preserve">SYNTHESE DE VISITE D’UNITES DE METHANISATION</w:t>
      </w:r>
      <w:r w:rsidDel="00000000" w:rsidR="00000000" w:rsidRPr="00000000">
        <w:rPr>
          <w:rtl w:val="0"/>
        </w:rPr>
        <w:t xml:space="preserve"> - Date : </w:t>
      </w:r>
      <w:r w:rsidDel="00000000" w:rsidR="00000000" w:rsidRPr="00000000">
        <w:rPr>
          <w:rtl w:val="0"/>
        </w:rPr>
      </w:r>
    </w:p>
    <w:tbl>
      <w:tblPr>
        <w:tblStyle w:val="Table1"/>
        <w:tblW w:w="960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60"/>
        <w:gridCol w:w="6946"/>
        <w:tblGridChange w:id="0">
          <w:tblGrid>
            <w:gridCol w:w="2660"/>
            <w:gridCol w:w="694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Nom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Adresse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06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OBJECTIFS</w:t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des porteurs de projet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Historique du projet 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- Date début du fonctionnement :</w:t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shd w:fill="d9d9d9" w:val="clear"/>
          </w:tcPr>
          <w:p w:rsidR="00000000" w:rsidDel="00000000" w:rsidP="00000000" w:rsidRDefault="00000000" w:rsidRPr="00000000" w14:paraId="00000012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GISEMENTS </w:t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Structure d’exploitation et gisements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Tonnes de gisement /an 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19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PROCESS </w:t>
            </w:r>
          </w:p>
          <w:p w:rsidR="00000000" w:rsidDel="00000000" w:rsidP="00000000" w:rsidRDefault="00000000" w:rsidRPr="00000000" w14:paraId="0000001A">
            <w:pPr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(Infiniment mélangé / </w:t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Voie sèche discontinue/ Voie sèche continue)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% Matière sèche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Bureau d’étude /constructeur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ENERGIE</w:t>
            </w:r>
            <w:r w:rsidDel="00000000" w:rsidR="00000000" w:rsidRPr="00000000">
              <w:rPr>
                <w:b w:val="1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  <w:t xml:space="preserve">(Injection)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26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Puissance </w:t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:          nm3</w:t>
            </w:r>
          </w:p>
          <w:p w:rsidR="00000000" w:rsidDel="00000000" w:rsidP="00000000" w:rsidRDefault="00000000" w:rsidRPr="00000000" w14:paraId="00000027">
            <w:pPr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Epurateur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B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DIGESTAT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(séparation de phase ou non, % MS en sortie, valeurs NPK, matériel d’épandage, …)</w:t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2E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MAIN D’ŒUVRE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Logistique et 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Maintenance</w:t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6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33">
            <w:pPr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ECONOMIQUE</w:t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6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Investissement méthanisation :                                               Soit            €/nm3</w:t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Subventions : 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Tarif d’achat biométhane : </w:t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Temps de retour sur investissement 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6" w:val="single"/>
            </w:tcBorders>
            <w:shd w:fill="d9d9d9" w:val="clear"/>
          </w:tcPr>
          <w:p w:rsidR="00000000" w:rsidDel="00000000" w:rsidP="00000000" w:rsidRDefault="00000000" w:rsidRPr="00000000" w14:paraId="0000003A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Commentaires</w:t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6" w:val="single"/>
              <w:bottom w:color="000000" w:space="0" w:sz="12" w:val="single"/>
              <w:right w:color="000000" w:space="0" w:sz="12" w:val="single"/>
            </w:tcBorders>
            <w:shd w:fill="ffffff" w:val="clear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sz w:val="2"/>
          <w:szCs w:val="2"/>
        </w:rPr>
      </w:pPr>
      <w:r w:rsidDel="00000000" w:rsidR="00000000" w:rsidRPr="00000000">
        <w:rPr>
          <w:sz w:val="2"/>
          <w:szCs w:val="2"/>
          <w:rtl w:val="0"/>
        </w:rPr>
        <w:t xml:space="preserve">t</w:t>
      </w:r>
      <w:r w:rsidDel="00000000" w:rsidR="00000000" w:rsidRPr="00000000">
        <w:rPr>
          <w:sz w:val="2"/>
          <w:szCs w:val="2"/>
        </w:rPr>
        <w:drawing>
          <wp:inline distB="0" distT="0" distL="0" distR="0">
            <wp:extent cx="6172260" cy="3712950"/>
            <wp:effectExtent b="0" l="0" r="0" t="0"/>
            <wp:docPr id="30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72260" cy="37129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Résultat :</w:t>
      </w:r>
    </w:p>
    <w:sectPr>
      <w:pgSz w:h="16838" w:w="11906" w:orient="portrait"/>
      <w:pgMar w:bottom="851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Grilledutableau">
    <w:name w:val="Table Grid"/>
    <w:basedOn w:val="TableauNormal"/>
    <w:uiPriority w:val="59"/>
    <w:rsid w:val="00392B6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phedeliste">
    <w:name w:val="List Paragraph"/>
    <w:basedOn w:val="Normal"/>
    <w:uiPriority w:val="34"/>
    <w:qFormat w:val="1"/>
    <w:rsid w:val="000342B9"/>
    <w:pPr>
      <w:ind w:left="720"/>
      <w:contextualSpacing w:val="1"/>
    </w:p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D57E34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D57E34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bsscEwFFWHzWKEpTI/awBufQEQ==">AMUW2mUQ6jZLDKzOpn3sKVYyph04XMmdWxo7FGUfDMvSK2TIUkhw3bpGpcRNsFuEWig1lKDn+Q4WmeSWtkl4CQEYLh7C4nj1ls+5rXairrsFjgS9VqiKdf1Wd0LbLa194rL2xoAh+XG3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2019-12-13T09:46:00Z</dcterms:created>
  <dc:creator>manager</dc:creator>
</cp:coreProperties>
</file>